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BC286" w14:textId="77777777" w:rsidR="00351CA1" w:rsidRPr="00645190" w:rsidRDefault="000307EA">
      <w:pPr>
        <w:rPr>
          <w:b/>
          <w:sz w:val="25"/>
          <w:szCs w:val="25"/>
        </w:rPr>
      </w:pPr>
      <w:r w:rsidRPr="00645190">
        <w:rPr>
          <w:b/>
          <w:sz w:val="25"/>
          <w:szCs w:val="25"/>
        </w:rPr>
        <w:t>Getting Funding to Attend The Mathematical</w:t>
      </w:r>
      <w:r w:rsidR="00351CA1" w:rsidRPr="00645190">
        <w:rPr>
          <w:b/>
          <w:sz w:val="25"/>
          <w:szCs w:val="25"/>
        </w:rPr>
        <w:t xml:space="preserve"> Association Annual Conference</w:t>
      </w:r>
    </w:p>
    <w:p w14:paraId="3A828ECF" w14:textId="26C29CCA" w:rsidR="00104D8E" w:rsidRPr="00645190" w:rsidRDefault="00104D8E" w:rsidP="0058752A">
      <w:pPr>
        <w:jc w:val="both"/>
        <w:rPr>
          <w:sz w:val="25"/>
          <w:szCs w:val="25"/>
        </w:rPr>
      </w:pPr>
      <w:r w:rsidRPr="00645190">
        <w:rPr>
          <w:sz w:val="25"/>
          <w:szCs w:val="25"/>
        </w:rPr>
        <w:t xml:space="preserve">Those who attend our annual conferences are almost unanimous: these conferences are </w:t>
      </w:r>
      <w:r w:rsidR="00F9003B">
        <w:rPr>
          <w:sz w:val="25"/>
          <w:szCs w:val="25"/>
        </w:rPr>
        <w:t xml:space="preserve">enormously </w:t>
      </w:r>
      <w:r w:rsidRPr="00645190">
        <w:rPr>
          <w:sz w:val="25"/>
          <w:szCs w:val="25"/>
        </w:rPr>
        <w:t xml:space="preserve">enjoyable.  You meet old friends and make new </w:t>
      </w:r>
      <w:r w:rsidR="00F9003B">
        <w:rPr>
          <w:sz w:val="25"/>
          <w:szCs w:val="25"/>
        </w:rPr>
        <w:t>ones. You learn new mathematics and new approaches</w:t>
      </w:r>
      <w:r w:rsidRPr="00645190">
        <w:rPr>
          <w:sz w:val="25"/>
          <w:szCs w:val="25"/>
        </w:rPr>
        <w:t xml:space="preserve"> that you can take back to your classroom</w:t>
      </w:r>
      <w:r w:rsidR="00F9003B">
        <w:rPr>
          <w:sz w:val="25"/>
          <w:szCs w:val="25"/>
        </w:rPr>
        <w:t xml:space="preserve"> – and you’re recharged</w:t>
      </w:r>
      <w:r w:rsidR="0058743D">
        <w:rPr>
          <w:sz w:val="25"/>
          <w:szCs w:val="25"/>
        </w:rPr>
        <w:t xml:space="preserve"> professionally</w:t>
      </w:r>
      <w:r w:rsidRPr="00645190">
        <w:rPr>
          <w:sz w:val="25"/>
          <w:szCs w:val="25"/>
        </w:rPr>
        <w:t xml:space="preserve">. </w:t>
      </w:r>
    </w:p>
    <w:p w14:paraId="41E2F8A4" w14:textId="5F6665FB" w:rsidR="00104D8E" w:rsidRPr="00645190" w:rsidRDefault="00104D8E" w:rsidP="0058752A">
      <w:pPr>
        <w:jc w:val="both"/>
        <w:rPr>
          <w:sz w:val="25"/>
          <w:szCs w:val="25"/>
        </w:rPr>
      </w:pPr>
      <w:r w:rsidRPr="00645190">
        <w:rPr>
          <w:sz w:val="25"/>
          <w:szCs w:val="25"/>
        </w:rPr>
        <w:t xml:space="preserve">But ... your Head of Department </w:t>
      </w:r>
      <w:r w:rsidR="00F9003B">
        <w:rPr>
          <w:sz w:val="25"/>
          <w:szCs w:val="25"/>
        </w:rPr>
        <w:t xml:space="preserve">or </w:t>
      </w:r>
      <w:proofErr w:type="spellStart"/>
      <w:r w:rsidR="00F9003B">
        <w:rPr>
          <w:sz w:val="25"/>
          <w:szCs w:val="25"/>
        </w:rPr>
        <w:t>Headteacher</w:t>
      </w:r>
      <w:proofErr w:type="spellEnd"/>
      <w:r w:rsidR="00F9003B">
        <w:rPr>
          <w:sz w:val="25"/>
          <w:szCs w:val="25"/>
        </w:rPr>
        <w:t xml:space="preserve"> </w:t>
      </w:r>
      <w:r w:rsidRPr="00645190">
        <w:rPr>
          <w:sz w:val="25"/>
          <w:szCs w:val="25"/>
        </w:rPr>
        <w:t>is, quite reasonably, not going</w:t>
      </w:r>
      <w:r w:rsidR="00F9003B">
        <w:rPr>
          <w:sz w:val="25"/>
          <w:szCs w:val="25"/>
        </w:rPr>
        <w:t xml:space="preserve"> to fund you to go have ‘fun’, so </w:t>
      </w:r>
      <w:r w:rsidRPr="00645190">
        <w:rPr>
          <w:sz w:val="25"/>
          <w:szCs w:val="25"/>
        </w:rPr>
        <w:t xml:space="preserve">anyone attending our conference must be able to make a good argument as to why </w:t>
      </w:r>
      <w:r w:rsidR="0058743D">
        <w:rPr>
          <w:sz w:val="25"/>
          <w:szCs w:val="25"/>
        </w:rPr>
        <w:t xml:space="preserve">funded </w:t>
      </w:r>
      <w:r w:rsidRPr="00645190">
        <w:rPr>
          <w:sz w:val="25"/>
          <w:szCs w:val="25"/>
        </w:rPr>
        <w:t xml:space="preserve">conference attendance will be </w:t>
      </w:r>
      <w:r w:rsidR="0058743D">
        <w:rPr>
          <w:sz w:val="25"/>
          <w:szCs w:val="25"/>
        </w:rPr>
        <w:t xml:space="preserve">good </w:t>
      </w:r>
      <w:r w:rsidRPr="00645190">
        <w:rPr>
          <w:sz w:val="25"/>
          <w:szCs w:val="25"/>
        </w:rPr>
        <w:t>value for money</w:t>
      </w:r>
      <w:r w:rsidR="00F9003B">
        <w:rPr>
          <w:sz w:val="25"/>
          <w:szCs w:val="25"/>
        </w:rPr>
        <w:t xml:space="preserve"> for the school</w:t>
      </w:r>
      <w:r w:rsidRPr="00645190">
        <w:rPr>
          <w:sz w:val="25"/>
          <w:szCs w:val="25"/>
        </w:rPr>
        <w:t>.</w:t>
      </w:r>
    </w:p>
    <w:p w14:paraId="3B698F15" w14:textId="398A6141" w:rsidR="00FA6628" w:rsidRPr="00645190" w:rsidRDefault="00104D8E" w:rsidP="0058752A">
      <w:pPr>
        <w:jc w:val="both"/>
        <w:rPr>
          <w:sz w:val="25"/>
          <w:szCs w:val="25"/>
        </w:rPr>
      </w:pPr>
      <w:r w:rsidRPr="00645190">
        <w:rPr>
          <w:sz w:val="25"/>
          <w:szCs w:val="25"/>
        </w:rPr>
        <w:t>To make this case, you will need a good understanding of the benefits your attendance will bring you, your</w:t>
      </w:r>
      <w:r w:rsidR="00F9003B">
        <w:rPr>
          <w:sz w:val="25"/>
          <w:szCs w:val="25"/>
        </w:rPr>
        <w:t xml:space="preserve"> colleagues</w:t>
      </w:r>
      <w:r w:rsidRPr="00645190">
        <w:rPr>
          <w:sz w:val="25"/>
          <w:szCs w:val="25"/>
        </w:rPr>
        <w:t xml:space="preserve">, and your school.  </w:t>
      </w:r>
    </w:p>
    <w:p w14:paraId="5BA2FADC" w14:textId="155C5193" w:rsidR="00EB265C" w:rsidRPr="00645190" w:rsidRDefault="0058743D" w:rsidP="0058752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There are </w:t>
      </w:r>
      <w:r w:rsidR="00104D8E" w:rsidRPr="00645190">
        <w:rPr>
          <w:sz w:val="25"/>
          <w:szCs w:val="25"/>
        </w:rPr>
        <w:t xml:space="preserve">intangible, but very real, benefits of </w:t>
      </w:r>
      <w:r w:rsidR="00FA6628" w:rsidRPr="00645190">
        <w:rPr>
          <w:sz w:val="25"/>
          <w:szCs w:val="25"/>
        </w:rPr>
        <w:t>meeting other teachers and exchanging experiences and ideas</w:t>
      </w:r>
      <w:r w:rsidR="00F9003B">
        <w:rPr>
          <w:sz w:val="25"/>
          <w:szCs w:val="25"/>
        </w:rPr>
        <w:t>, of being affirmed and of sharing challenges</w:t>
      </w:r>
      <w:r w:rsidR="00FA6628" w:rsidRPr="00645190">
        <w:rPr>
          <w:sz w:val="25"/>
          <w:szCs w:val="25"/>
        </w:rPr>
        <w:t xml:space="preserve">. When you attend our conference, you will meet other teachers </w:t>
      </w:r>
      <w:r w:rsidR="00F9003B">
        <w:rPr>
          <w:sz w:val="25"/>
          <w:szCs w:val="25"/>
        </w:rPr>
        <w:t xml:space="preserve">of mathematics </w:t>
      </w:r>
      <w:r w:rsidR="00FA6628" w:rsidRPr="00645190">
        <w:rPr>
          <w:sz w:val="25"/>
          <w:szCs w:val="25"/>
        </w:rPr>
        <w:t xml:space="preserve">from all </w:t>
      </w:r>
      <w:r w:rsidR="00F9003B">
        <w:rPr>
          <w:sz w:val="25"/>
          <w:szCs w:val="25"/>
        </w:rPr>
        <w:t xml:space="preserve">phases and from all </w:t>
      </w:r>
      <w:r w:rsidR="00FA6628" w:rsidRPr="00645190">
        <w:rPr>
          <w:sz w:val="25"/>
          <w:szCs w:val="25"/>
        </w:rPr>
        <w:t>over the country. Of course</w:t>
      </w:r>
      <w:r w:rsidR="00DE4FC2">
        <w:rPr>
          <w:sz w:val="25"/>
          <w:szCs w:val="25"/>
        </w:rPr>
        <w:t>,</w:t>
      </w:r>
      <w:r w:rsidR="00FA6628" w:rsidRPr="00645190">
        <w:rPr>
          <w:sz w:val="25"/>
          <w:szCs w:val="25"/>
        </w:rPr>
        <w:t xml:space="preserve"> you will encounter </w:t>
      </w:r>
      <w:r w:rsidR="00F9003B">
        <w:rPr>
          <w:sz w:val="25"/>
          <w:szCs w:val="25"/>
        </w:rPr>
        <w:t xml:space="preserve">like-minded </w:t>
      </w:r>
      <w:r w:rsidR="00FA6628" w:rsidRPr="00645190">
        <w:rPr>
          <w:sz w:val="25"/>
          <w:szCs w:val="25"/>
        </w:rPr>
        <w:t xml:space="preserve">people </w:t>
      </w:r>
      <w:r w:rsidR="00F9003B">
        <w:rPr>
          <w:sz w:val="25"/>
          <w:szCs w:val="25"/>
        </w:rPr>
        <w:t xml:space="preserve">in the sessions you choose – but you’ll also benefit from </w:t>
      </w:r>
      <w:r w:rsidR="00FA6628" w:rsidRPr="00645190">
        <w:rPr>
          <w:sz w:val="25"/>
          <w:szCs w:val="25"/>
        </w:rPr>
        <w:t>inform</w:t>
      </w:r>
      <w:r w:rsidR="00F9003B">
        <w:rPr>
          <w:sz w:val="25"/>
          <w:szCs w:val="25"/>
        </w:rPr>
        <w:t>al discussion during the breaks</w:t>
      </w:r>
      <w:r w:rsidR="00FA6628" w:rsidRPr="00645190">
        <w:rPr>
          <w:sz w:val="25"/>
          <w:szCs w:val="25"/>
        </w:rPr>
        <w:t xml:space="preserve"> and in the evening.  </w:t>
      </w:r>
      <w:r w:rsidR="00F9003B">
        <w:rPr>
          <w:sz w:val="25"/>
          <w:szCs w:val="25"/>
        </w:rPr>
        <w:t xml:space="preserve">This recharges, affirms and renews you in a way not possible with </w:t>
      </w:r>
      <w:r w:rsidR="00FA6628" w:rsidRPr="00645190">
        <w:rPr>
          <w:sz w:val="25"/>
          <w:szCs w:val="25"/>
        </w:rPr>
        <w:t>other form</w:t>
      </w:r>
      <w:r w:rsidR="00F9003B">
        <w:rPr>
          <w:sz w:val="25"/>
          <w:szCs w:val="25"/>
        </w:rPr>
        <w:t>s</w:t>
      </w:r>
      <w:r w:rsidR="00FA6628" w:rsidRPr="00645190">
        <w:rPr>
          <w:sz w:val="25"/>
          <w:szCs w:val="25"/>
        </w:rPr>
        <w:t xml:space="preserve"> of CPD.</w:t>
      </w:r>
    </w:p>
    <w:p w14:paraId="167EA8C9" w14:textId="4D47B298" w:rsidR="00214200" w:rsidRPr="00645190" w:rsidRDefault="00FA6628" w:rsidP="0058752A">
      <w:pPr>
        <w:jc w:val="both"/>
        <w:rPr>
          <w:sz w:val="25"/>
          <w:szCs w:val="25"/>
        </w:rPr>
      </w:pPr>
      <w:r w:rsidRPr="00645190">
        <w:rPr>
          <w:sz w:val="25"/>
          <w:szCs w:val="25"/>
        </w:rPr>
        <w:t xml:space="preserve">In the very substantial category of formal </w:t>
      </w:r>
      <w:r w:rsidR="00A511BC" w:rsidRPr="00645190">
        <w:rPr>
          <w:sz w:val="25"/>
          <w:szCs w:val="25"/>
        </w:rPr>
        <w:t>CPD</w:t>
      </w:r>
      <w:r w:rsidRPr="00645190">
        <w:rPr>
          <w:sz w:val="25"/>
          <w:szCs w:val="25"/>
        </w:rPr>
        <w:t xml:space="preserve"> goals, you can mention the following, </w:t>
      </w:r>
      <w:r w:rsidR="00DE4FC2">
        <w:rPr>
          <w:sz w:val="25"/>
          <w:szCs w:val="25"/>
        </w:rPr>
        <w:t>but there are seven</w:t>
      </w:r>
      <w:r w:rsidR="00A511BC" w:rsidRPr="00645190">
        <w:rPr>
          <w:sz w:val="25"/>
          <w:szCs w:val="25"/>
        </w:rPr>
        <w:t xml:space="preserve"> slots each of </w:t>
      </w:r>
      <w:r w:rsidR="00DE4FC2">
        <w:rPr>
          <w:sz w:val="25"/>
          <w:szCs w:val="25"/>
        </w:rPr>
        <w:t>nine</w:t>
      </w:r>
      <w:r w:rsidR="00A511BC" w:rsidRPr="00645190">
        <w:rPr>
          <w:sz w:val="25"/>
          <w:szCs w:val="25"/>
        </w:rPr>
        <w:t xml:space="preserve"> ses</w:t>
      </w:r>
      <w:r w:rsidR="0058743D">
        <w:rPr>
          <w:sz w:val="25"/>
          <w:szCs w:val="25"/>
        </w:rPr>
        <w:t xml:space="preserve">sions, with a </w:t>
      </w:r>
      <w:r w:rsidR="00A511BC" w:rsidRPr="00645190">
        <w:rPr>
          <w:sz w:val="25"/>
          <w:szCs w:val="25"/>
        </w:rPr>
        <w:t xml:space="preserve">spread of primary, secondary, tertiary and general </w:t>
      </w:r>
      <w:r w:rsidR="00F9003B">
        <w:rPr>
          <w:sz w:val="25"/>
          <w:szCs w:val="25"/>
        </w:rPr>
        <w:t xml:space="preserve">mathematical </w:t>
      </w:r>
      <w:r w:rsidR="0058743D">
        <w:rPr>
          <w:sz w:val="25"/>
          <w:szCs w:val="25"/>
        </w:rPr>
        <w:t xml:space="preserve">focus and </w:t>
      </w:r>
      <w:r w:rsidR="00A511BC" w:rsidRPr="00645190">
        <w:rPr>
          <w:sz w:val="25"/>
          <w:szCs w:val="25"/>
        </w:rPr>
        <w:t>interest</w:t>
      </w:r>
      <w:r w:rsidR="0058743D">
        <w:rPr>
          <w:sz w:val="25"/>
          <w:szCs w:val="25"/>
        </w:rPr>
        <w:t xml:space="preserve"> in each</w:t>
      </w:r>
      <w:r w:rsidR="00A511BC" w:rsidRPr="00645190">
        <w:rPr>
          <w:sz w:val="25"/>
          <w:szCs w:val="25"/>
        </w:rPr>
        <w:t>.</w:t>
      </w:r>
      <w:r w:rsidR="00F9003B">
        <w:rPr>
          <w:sz w:val="25"/>
          <w:szCs w:val="25"/>
        </w:rPr>
        <w:t xml:space="preserve"> For example</w:t>
      </w:r>
      <w:r w:rsidR="007632C6">
        <w:rPr>
          <w:sz w:val="25"/>
          <w:szCs w:val="25"/>
        </w:rPr>
        <w:t xml:space="preserve"> </w:t>
      </w:r>
      <w:r w:rsidR="00F9003B">
        <w:rPr>
          <w:sz w:val="25"/>
          <w:szCs w:val="25"/>
        </w:rPr>
        <w:t>…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9"/>
        <w:gridCol w:w="4877"/>
      </w:tblGrid>
      <w:tr w:rsidR="00351CA1" w:rsidRPr="00645190" w14:paraId="3148C3FF" w14:textId="77777777" w:rsidTr="00351CA1">
        <w:tc>
          <w:tcPr>
            <w:tcW w:w="4231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</w:tcPr>
          <w:p w14:paraId="141DD8DA" w14:textId="77777777" w:rsidR="00214200" w:rsidRPr="00645190" w:rsidRDefault="00351CA1" w:rsidP="009B64A8">
            <w:pPr>
              <w:spacing w:after="0" w:line="240" w:lineRule="auto"/>
              <w:rPr>
                <w:b/>
              </w:rPr>
            </w:pPr>
            <w:r w:rsidRPr="00645190">
              <w:br w:type="page"/>
            </w:r>
            <w:r w:rsidR="00FA6628" w:rsidRPr="00645190">
              <w:rPr>
                <w:b/>
              </w:rPr>
              <w:t xml:space="preserve">CPD </w:t>
            </w:r>
            <w:r w:rsidR="00214200" w:rsidRPr="00645190">
              <w:rPr>
                <w:b/>
              </w:rPr>
              <w:t>Goal</w:t>
            </w:r>
          </w:p>
        </w:tc>
        <w:tc>
          <w:tcPr>
            <w:tcW w:w="5011" w:type="dxa"/>
            <w:tcBorders>
              <w:top w:val="single" w:sz="12" w:space="0" w:color="auto"/>
              <w:bottom w:val="single" w:sz="4" w:space="0" w:color="auto"/>
            </w:tcBorders>
            <w:shd w:val="pct5" w:color="auto" w:fill="auto"/>
          </w:tcPr>
          <w:p w14:paraId="5814CEA7" w14:textId="77777777" w:rsidR="00214200" w:rsidRPr="00645190" w:rsidRDefault="009B64A8" w:rsidP="009B64A8">
            <w:pPr>
              <w:spacing w:after="0" w:line="240" w:lineRule="auto"/>
              <w:rPr>
                <w:b/>
              </w:rPr>
            </w:pPr>
            <w:r w:rsidRPr="00645190">
              <w:t xml:space="preserve"> </w:t>
            </w:r>
            <w:r w:rsidR="00D87F09">
              <w:rPr>
                <w:b/>
              </w:rPr>
              <w:t>2017</w:t>
            </w:r>
            <w:r w:rsidR="00FA6628" w:rsidRPr="00645190">
              <w:rPr>
                <w:b/>
              </w:rPr>
              <w:t xml:space="preserve"> Conference S</w:t>
            </w:r>
            <w:r w:rsidR="00E9667A" w:rsidRPr="00645190">
              <w:rPr>
                <w:b/>
              </w:rPr>
              <w:t>ession</w:t>
            </w:r>
          </w:p>
        </w:tc>
      </w:tr>
      <w:tr w:rsidR="00351CA1" w:rsidRPr="00645190" w14:paraId="1D85441F" w14:textId="77777777" w:rsidTr="0058752A">
        <w:tc>
          <w:tcPr>
            <w:tcW w:w="4231" w:type="dxa"/>
            <w:tcBorders>
              <w:top w:val="single" w:sz="4" w:space="0" w:color="auto"/>
              <w:bottom w:val="single" w:sz="4" w:space="0" w:color="auto"/>
            </w:tcBorders>
          </w:tcPr>
          <w:p w14:paraId="4F93D39E" w14:textId="31C89AB9" w:rsidR="00214200" w:rsidRPr="00645190" w:rsidRDefault="00214200" w:rsidP="00F9003B">
            <w:pPr>
              <w:spacing w:after="0" w:line="240" w:lineRule="auto"/>
            </w:pPr>
            <w:r w:rsidRPr="00645190">
              <w:t xml:space="preserve">To learn about </w:t>
            </w:r>
            <w:r w:rsidR="00F9003B">
              <w:t xml:space="preserve">new and forthcoming </w:t>
            </w:r>
            <w:r w:rsidR="00E9667A" w:rsidRPr="00645190">
              <w:t xml:space="preserve">changes </w:t>
            </w:r>
            <w:r w:rsidR="00F9003B">
              <w:t>in mathematics curricula, from 5-19</w:t>
            </w:r>
          </w:p>
        </w:tc>
        <w:tc>
          <w:tcPr>
            <w:tcW w:w="5011" w:type="dxa"/>
            <w:tcBorders>
              <w:top w:val="single" w:sz="4" w:space="0" w:color="auto"/>
              <w:bottom w:val="single" w:sz="4" w:space="0" w:color="auto"/>
            </w:tcBorders>
          </w:tcPr>
          <w:p w14:paraId="752A4743" w14:textId="77777777" w:rsidR="00214200" w:rsidRDefault="00592F40" w:rsidP="00D87F09">
            <w:pPr>
              <w:pStyle w:val="Default"/>
              <w:rPr>
                <w:bCs/>
                <w:i/>
                <w:iCs/>
              </w:rPr>
            </w:pPr>
            <w:r w:rsidRPr="00D87F09">
              <w:rPr>
                <w:bCs/>
                <w:iCs/>
              </w:rPr>
              <w:t xml:space="preserve">We have our </w:t>
            </w:r>
            <w:r w:rsidRPr="00D87F09">
              <w:rPr>
                <w:bCs/>
                <w:i/>
                <w:iCs/>
              </w:rPr>
              <w:t>Primary Plenary</w:t>
            </w:r>
            <w:r w:rsidRPr="00D87F09">
              <w:rPr>
                <w:bCs/>
                <w:iCs/>
              </w:rPr>
              <w:t xml:space="preserve"> by Debbie Morgan</w:t>
            </w:r>
            <w:r w:rsidR="00D87F09">
              <w:rPr>
                <w:bCs/>
                <w:iCs/>
              </w:rPr>
              <w:t xml:space="preserve">: </w:t>
            </w:r>
            <w:r w:rsidR="00D87F09" w:rsidRPr="00D87F09">
              <w:rPr>
                <w:bCs/>
                <w:i/>
                <w:iCs/>
              </w:rPr>
              <w:t>What is mastery, why does it matter, and what are teachers doing where it’s working well?</w:t>
            </w:r>
            <w:r w:rsidRPr="00D87F09">
              <w:rPr>
                <w:bCs/>
                <w:iCs/>
              </w:rPr>
              <w:t xml:space="preserve"> </w:t>
            </w:r>
          </w:p>
          <w:p w14:paraId="71FCC0A2" w14:textId="0107508A" w:rsidR="00D87F09" w:rsidRPr="00D87F09" w:rsidRDefault="00D87F09" w:rsidP="00D87F09">
            <w:pPr>
              <w:pStyle w:val="Default"/>
            </w:pPr>
            <w:r>
              <w:t>and Andrew T</w:t>
            </w:r>
            <w:r w:rsidR="00F9003B">
              <w:t>a</w:t>
            </w:r>
            <w:r>
              <w:t xml:space="preserve">ylor on </w:t>
            </w:r>
            <w:r w:rsidRPr="00D87F09">
              <w:rPr>
                <w:i/>
              </w:rPr>
              <w:t>Problems, models and data … the challenges of the new A-level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D87F09" w:rsidRPr="00D87F09" w14:paraId="59F76E97" w14:textId="77777777" w:rsidTr="00D87F09">
              <w:trPr>
                <w:trHeight w:val="229"/>
              </w:trPr>
              <w:tc>
                <w:tcPr>
                  <w:tcW w:w="0" w:type="auto"/>
                </w:tcPr>
                <w:p w14:paraId="08770B41" w14:textId="77777777" w:rsidR="00D87F09" w:rsidRPr="00D87F09" w:rsidRDefault="00D87F09" w:rsidP="00D87F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D87F09">
                    <w:rPr>
                      <w:rFonts w:cs="Calibri"/>
                      <w:i/>
                      <w:iCs/>
                      <w:color w:val="000000"/>
                      <w:sz w:val="16"/>
                      <w:szCs w:val="16"/>
                      <w:lang w:eastAsia="en-GB"/>
                    </w:rPr>
                    <w:t xml:space="preserve"> </w:t>
                  </w:r>
                </w:p>
              </w:tc>
            </w:tr>
          </w:tbl>
          <w:p w14:paraId="045A769E" w14:textId="77777777" w:rsidR="00D87F09" w:rsidRPr="00645190" w:rsidRDefault="00D87F09" w:rsidP="00D87F09">
            <w:pPr>
              <w:pStyle w:val="Default"/>
            </w:pPr>
          </w:p>
        </w:tc>
      </w:tr>
      <w:tr w:rsidR="00351CA1" w:rsidRPr="00645190" w14:paraId="7419F5D4" w14:textId="77777777" w:rsidTr="0058752A">
        <w:tc>
          <w:tcPr>
            <w:tcW w:w="4231" w:type="dxa"/>
            <w:tcBorders>
              <w:top w:val="single" w:sz="4" w:space="0" w:color="auto"/>
              <w:bottom w:val="nil"/>
            </w:tcBorders>
          </w:tcPr>
          <w:p w14:paraId="1C931FFF" w14:textId="3E7D8D8F" w:rsidR="00214200" w:rsidRPr="00645190" w:rsidRDefault="009B64A8" w:rsidP="009B64A8">
            <w:pPr>
              <w:spacing w:after="0" w:line="240" w:lineRule="auto"/>
            </w:pPr>
            <w:r w:rsidRPr="00645190">
              <w:t xml:space="preserve">To find out what </w:t>
            </w:r>
            <w:r w:rsidR="00220BA2" w:rsidRPr="00645190">
              <w:t xml:space="preserve">new textbooks </w:t>
            </w:r>
            <w:r w:rsidR="00FA6628" w:rsidRPr="00645190">
              <w:t xml:space="preserve">and other teaching materials </w:t>
            </w:r>
            <w:r w:rsidR="0058743D">
              <w:t>publishers are bringing out</w:t>
            </w:r>
          </w:p>
        </w:tc>
        <w:tc>
          <w:tcPr>
            <w:tcW w:w="5011" w:type="dxa"/>
            <w:tcBorders>
              <w:top w:val="single" w:sz="4" w:space="0" w:color="auto"/>
              <w:bottom w:val="nil"/>
            </w:tcBorders>
          </w:tcPr>
          <w:p w14:paraId="3C64642B" w14:textId="228956C4" w:rsidR="00214200" w:rsidRPr="00645190" w:rsidRDefault="000307EA" w:rsidP="000307EA">
            <w:pPr>
              <w:spacing w:after="0" w:line="240" w:lineRule="auto"/>
            </w:pPr>
            <w:r w:rsidRPr="00645190">
              <w:t>On the Saturday</w:t>
            </w:r>
            <w:r w:rsidR="006F77BC" w:rsidRPr="00645190">
              <w:t xml:space="preserve"> </w:t>
            </w:r>
            <w:r w:rsidR="00D87F09">
              <w:t xml:space="preserve">and Sunday </w:t>
            </w:r>
            <w:r w:rsidR="006F77BC" w:rsidRPr="00645190">
              <w:t xml:space="preserve">of the conference </w:t>
            </w:r>
            <w:r w:rsidRPr="00645190">
              <w:t xml:space="preserve">we have a Publishers’ Exhibition </w:t>
            </w:r>
            <w:r w:rsidR="00220BA2" w:rsidRPr="00645190">
              <w:t xml:space="preserve">where </w:t>
            </w:r>
            <w:r w:rsidR="001031DC" w:rsidRPr="00645190">
              <w:t>you can talk to re</w:t>
            </w:r>
            <w:r w:rsidRPr="00645190">
              <w:t>presentatives and see what they have on offer</w:t>
            </w:r>
            <w:r w:rsidR="0058743D">
              <w:t xml:space="preserve"> – but we also have a variety of sessions where you can experience new ways to use or develop homemade or commercial resources.</w:t>
            </w:r>
          </w:p>
          <w:p w14:paraId="7263A766" w14:textId="77777777" w:rsidR="0058752A" w:rsidRPr="00645190" w:rsidRDefault="0058752A" w:rsidP="000307EA">
            <w:pPr>
              <w:spacing w:after="0" w:line="240" w:lineRule="auto"/>
            </w:pPr>
          </w:p>
        </w:tc>
      </w:tr>
      <w:tr w:rsidR="00351CA1" w:rsidRPr="00645190" w14:paraId="2D835B39" w14:textId="77777777" w:rsidTr="00351CA1">
        <w:tc>
          <w:tcPr>
            <w:tcW w:w="4231" w:type="dxa"/>
          </w:tcPr>
          <w:p w14:paraId="22F8B6EF" w14:textId="7F771257" w:rsidR="00214200" w:rsidRPr="00645190" w:rsidRDefault="009B64A8" w:rsidP="009B64A8">
            <w:pPr>
              <w:spacing w:after="0" w:line="240" w:lineRule="auto"/>
            </w:pPr>
            <w:r w:rsidRPr="00645190">
              <w:t xml:space="preserve">To learn new </w:t>
            </w:r>
            <w:r w:rsidR="0058743D">
              <w:t>approache</w:t>
            </w:r>
            <w:r w:rsidRPr="00645190">
              <w:t>s to teach</w:t>
            </w:r>
            <w:r w:rsidR="0058743D">
              <w:t>ing a particular topic</w:t>
            </w:r>
          </w:p>
        </w:tc>
        <w:tc>
          <w:tcPr>
            <w:tcW w:w="5011" w:type="dxa"/>
          </w:tcPr>
          <w:p w14:paraId="5FF17BA9" w14:textId="4E21DB09" w:rsidR="00F9003B" w:rsidRDefault="00D87F09" w:rsidP="00DE4FC2">
            <w:pPr>
              <w:pStyle w:val="Default"/>
              <w:rPr>
                <w:i/>
                <w:iCs/>
              </w:rPr>
            </w:pPr>
            <w:r w:rsidRPr="00D87F09">
              <w:t>For example</w:t>
            </w:r>
            <w:r w:rsidR="00085CEF">
              <w:t>,</w:t>
            </w:r>
            <w:r w:rsidRPr="00D87F09">
              <w:t xml:space="preserve"> we have Julia Smith </w:t>
            </w:r>
            <w:r w:rsidRPr="00D87F09">
              <w:rPr>
                <w:i/>
                <w:iCs/>
              </w:rPr>
              <w:t xml:space="preserve">Recharge and motivate: ideas for GCSE resits (or others </w:t>
            </w:r>
            <w:r w:rsidRPr="00D87F09">
              <w:rPr>
                <w:i/>
                <w:iCs/>
              </w:rPr>
              <w:lastRenderedPageBreak/>
              <w:t xml:space="preserve">challenged by GCSE) </w:t>
            </w:r>
            <w:r w:rsidR="00085CEF">
              <w:t xml:space="preserve">and the ever-popular </w:t>
            </w:r>
            <w:r w:rsidRPr="00D87F09">
              <w:t xml:space="preserve">Rachael Horsman </w:t>
            </w:r>
            <w:r w:rsidRPr="00D87F09">
              <w:rPr>
                <w:i/>
                <w:iCs/>
              </w:rPr>
              <w:t xml:space="preserve">Ideas for developing geometric thinking </w:t>
            </w:r>
          </w:p>
          <w:p w14:paraId="112E0505" w14:textId="77777777" w:rsidR="00DE4FC2" w:rsidRPr="00DE4FC2" w:rsidRDefault="00DE4FC2" w:rsidP="00DE4FC2">
            <w:pPr>
              <w:pStyle w:val="Default"/>
            </w:pPr>
          </w:p>
        </w:tc>
      </w:tr>
      <w:tr w:rsidR="00351CA1" w:rsidRPr="00645190" w14:paraId="3C1AABD7" w14:textId="77777777" w:rsidTr="00351CA1">
        <w:tc>
          <w:tcPr>
            <w:tcW w:w="4231" w:type="dxa"/>
          </w:tcPr>
          <w:p w14:paraId="234F5B59" w14:textId="1D997F88" w:rsidR="009B64A8" w:rsidRPr="00645190" w:rsidRDefault="000307EA" w:rsidP="0058743D">
            <w:pPr>
              <w:spacing w:after="0" w:line="240" w:lineRule="auto"/>
            </w:pPr>
            <w:r w:rsidRPr="00645190">
              <w:lastRenderedPageBreak/>
              <w:t xml:space="preserve">To meet </w:t>
            </w:r>
            <w:r w:rsidR="009B64A8" w:rsidRPr="00645190">
              <w:t xml:space="preserve">and network with other teachers </w:t>
            </w:r>
            <w:r w:rsidR="0058743D">
              <w:t xml:space="preserve">in similar and contrasting situations </w:t>
            </w:r>
            <w:r w:rsidR="009B64A8" w:rsidRPr="00645190">
              <w:t xml:space="preserve">from around the country </w:t>
            </w:r>
          </w:p>
        </w:tc>
        <w:tc>
          <w:tcPr>
            <w:tcW w:w="5011" w:type="dxa"/>
          </w:tcPr>
          <w:p w14:paraId="466025BC" w14:textId="76D4BA1F" w:rsidR="0058752A" w:rsidRDefault="00A018F8" w:rsidP="009B64A8">
            <w:pPr>
              <w:spacing w:after="0" w:line="240" w:lineRule="auto"/>
            </w:pPr>
            <w:r w:rsidRPr="00645190">
              <w:t>Conference attendees meet each other at the coffee breaks between sessions, and at breakfast, lunch and dinner. There is also a</w:t>
            </w:r>
            <w:r w:rsidR="00F9003B">
              <w:t xml:space="preserve"> f</w:t>
            </w:r>
            <w:r w:rsidR="00085CEF">
              <w:t>irst-timers’ welcome session and a</w:t>
            </w:r>
            <w:r w:rsidRPr="00645190">
              <w:t xml:space="preserve"> </w:t>
            </w:r>
            <w:r w:rsidR="00351CA1" w:rsidRPr="00645190">
              <w:t xml:space="preserve">lively </w:t>
            </w:r>
            <w:r w:rsidRPr="00645190">
              <w:t>Quiz Night</w:t>
            </w:r>
          </w:p>
          <w:p w14:paraId="0621071E" w14:textId="03DCBD8B" w:rsidR="00F9003B" w:rsidRPr="00645190" w:rsidRDefault="00F9003B" w:rsidP="009B64A8">
            <w:pPr>
              <w:spacing w:after="0" w:line="240" w:lineRule="auto"/>
            </w:pPr>
          </w:p>
        </w:tc>
      </w:tr>
      <w:tr w:rsidR="00351CA1" w:rsidRPr="00645190" w14:paraId="4155ADBA" w14:textId="77777777" w:rsidTr="00351CA1">
        <w:trPr>
          <w:cantSplit/>
        </w:trPr>
        <w:tc>
          <w:tcPr>
            <w:tcW w:w="4231" w:type="dxa"/>
          </w:tcPr>
          <w:p w14:paraId="663F3BCF" w14:textId="3158ABEE" w:rsidR="009B64A8" w:rsidRPr="00645190" w:rsidRDefault="009B64A8" w:rsidP="009B64A8">
            <w:pPr>
              <w:spacing w:after="0" w:line="240" w:lineRule="auto"/>
            </w:pPr>
            <w:r w:rsidRPr="00645190">
              <w:t>To</w:t>
            </w:r>
            <w:r w:rsidR="00F9003B">
              <w:t xml:space="preserve"> develop understanding of</w:t>
            </w:r>
            <w:r w:rsidRPr="00645190">
              <w:t xml:space="preserve"> how new technologies c</w:t>
            </w:r>
            <w:r w:rsidR="0058743D">
              <w:t>an be used to teach mathematics</w:t>
            </w:r>
          </w:p>
        </w:tc>
        <w:tc>
          <w:tcPr>
            <w:tcW w:w="5011" w:type="dxa"/>
          </w:tcPr>
          <w:p w14:paraId="59F52781" w14:textId="77777777" w:rsidR="0058752A" w:rsidRDefault="00085CEF" w:rsidP="00B411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  <w:r>
              <w:rPr>
                <w:rFonts w:cs="Calibri"/>
                <w:bCs/>
                <w:iCs/>
                <w:color w:val="000000"/>
              </w:rPr>
              <w:t xml:space="preserve">This year we have a T&amp;L with technology thread running through the conference with sessions by Douglas Butler, Mick Blaylock, Mark Dawes, Stephen Britton and Richard </w:t>
            </w:r>
            <w:proofErr w:type="spellStart"/>
            <w:r>
              <w:rPr>
                <w:rFonts w:cs="Calibri"/>
                <w:bCs/>
                <w:iCs/>
                <w:color w:val="000000"/>
              </w:rPr>
              <w:t>Lissaman</w:t>
            </w:r>
            <w:proofErr w:type="spellEnd"/>
          </w:p>
          <w:p w14:paraId="79049F06" w14:textId="71D9813A" w:rsidR="00F9003B" w:rsidRPr="00F9003B" w:rsidRDefault="00F9003B" w:rsidP="00B411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iCs/>
                <w:color w:val="000000"/>
              </w:rPr>
            </w:pPr>
          </w:p>
        </w:tc>
      </w:tr>
      <w:tr w:rsidR="00351CA1" w:rsidRPr="00645190" w14:paraId="7F67214E" w14:textId="77777777" w:rsidTr="00351CA1">
        <w:tc>
          <w:tcPr>
            <w:tcW w:w="4231" w:type="dxa"/>
          </w:tcPr>
          <w:p w14:paraId="0EF69EDA" w14:textId="77777777" w:rsidR="009B64A8" w:rsidRPr="00645190" w:rsidRDefault="009B64A8" w:rsidP="009B64A8">
            <w:pPr>
              <w:spacing w:after="0" w:line="240" w:lineRule="auto"/>
            </w:pPr>
            <w:r w:rsidRPr="00645190">
              <w:t xml:space="preserve">To expand your mathematical horizons </w:t>
            </w:r>
          </w:p>
        </w:tc>
        <w:tc>
          <w:tcPr>
            <w:tcW w:w="5011" w:type="dxa"/>
          </w:tcPr>
          <w:p w14:paraId="6A84B02A" w14:textId="70BE2638" w:rsidR="009B64A8" w:rsidRPr="00F9003B" w:rsidRDefault="0058743D" w:rsidP="00C4268C">
            <w:pPr>
              <w:pStyle w:val="Default"/>
              <w:rPr>
                <w:bCs/>
                <w:iCs/>
              </w:rPr>
            </w:pPr>
            <w:r>
              <w:rPr>
                <w:bCs/>
                <w:iCs/>
              </w:rPr>
              <w:t xml:space="preserve">There are </w:t>
            </w:r>
            <w:r w:rsidR="00B411F2" w:rsidRPr="00645190">
              <w:rPr>
                <w:bCs/>
                <w:iCs/>
              </w:rPr>
              <w:t xml:space="preserve">sessions to intrigue you </w:t>
            </w:r>
            <w:r w:rsidR="00B411F2" w:rsidRPr="00E9390C">
              <w:rPr>
                <w:bCs/>
                <w:iCs/>
              </w:rPr>
              <w:t>mathematic</w:t>
            </w:r>
            <w:r w:rsidR="00085CEF" w:rsidRPr="00E9390C">
              <w:rPr>
                <w:bCs/>
                <w:iCs/>
              </w:rPr>
              <w:t xml:space="preserve">ally, such as the celebrated </w:t>
            </w:r>
            <w:r w:rsidR="00C4268C" w:rsidRPr="00E9390C">
              <w:rPr>
                <w:bCs/>
                <w:iCs/>
              </w:rPr>
              <w:t>statistician and nurse F</w:t>
            </w:r>
            <w:r w:rsidR="00DE4FC2" w:rsidRPr="00E9390C">
              <w:rPr>
                <w:bCs/>
                <w:iCs/>
              </w:rPr>
              <w:t>l</w:t>
            </w:r>
            <w:r w:rsidR="00C4268C" w:rsidRPr="00E9390C">
              <w:rPr>
                <w:bCs/>
                <w:iCs/>
              </w:rPr>
              <w:t xml:space="preserve">orence Nightingale, (yes, that one!), </w:t>
            </w:r>
            <w:r w:rsidR="00085CEF" w:rsidRPr="00E9390C">
              <w:rPr>
                <w:bCs/>
                <w:iCs/>
              </w:rPr>
              <w:t>Zeeman medallist</w:t>
            </w:r>
            <w:r w:rsidR="00B411F2" w:rsidRPr="00E9390C">
              <w:rPr>
                <w:bCs/>
                <w:iCs/>
              </w:rPr>
              <w:t xml:space="preserve"> </w:t>
            </w:r>
            <w:r w:rsidR="00085CEF" w:rsidRPr="00E9390C">
              <w:rPr>
                <w:bCs/>
                <w:iCs/>
              </w:rPr>
              <w:t xml:space="preserve">Rob </w:t>
            </w:r>
            <w:proofErr w:type="spellStart"/>
            <w:r w:rsidR="00085CEF" w:rsidRPr="00E9390C">
              <w:rPr>
                <w:bCs/>
                <w:iCs/>
              </w:rPr>
              <w:t>Eastaway</w:t>
            </w:r>
            <w:proofErr w:type="spellEnd"/>
            <w:r w:rsidR="00085CEF" w:rsidRPr="00E9390C">
              <w:rPr>
                <w:bCs/>
                <w:iCs/>
              </w:rPr>
              <w:t xml:space="preserve"> (</w:t>
            </w:r>
            <w:r w:rsidR="00085CEF" w:rsidRPr="00E9390C">
              <w:rPr>
                <w:bCs/>
                <w:i/>
                <w:iCs/>
              </w:rPr>
              <w:t>Solving outside the box: creativity in problem solving</w:t>
            </w:r>
            <w:r w:rsidR="00F61D57" w:rsidRPr="00E9390C">
              <w:rPr>
                <w:bCs/>
                <w:iCs/>
              </w:rPr>
              <w:t>)</w:t>
            </w:r>
            <w:r w:rsidR="00C4268C" w:rsidRPr="00E9390C">
              <w:rPr>
                <w:bCs/>
                <w:iCs/>
              </w:rPr>
              <w:t>,</w:t>
            </w:r>
            <w:r w:rsidR="00F61D57" w:rsidRPr="00E9390C">
              <w:rPr>
                <w:bCs/>
                <w:iCs/>
              </w:rPr>
              <w:t xml:space="preserve"> </w:t>
            </w:r>
            <w:r w:rsidR="00085CEF" w:rsidRPr="00E9390C">
              <w:rPr>
                <w:bCs/>
                <w:iCs/>
              </w:rPr>
              <w:t xml:space="preserve">Liz </w:t>
            </w:r>
            <w:proofErr w:type="spellStart"/>
            <w:r w:rsidR="00085CEF" w:rsidRPr="00E9390C">
              <w:rPr>
                <w:bCs/>
                <w:iCs/>
              </w:rPr>
              <w:t>Meenan</w:t>
            </w:r>
            <w:proofErr w:type="spellEnd"/>
            <w:r w:rsidR="00F61D57" w:rsidRPr="00E9390C">
              <w:rPr>
                <w:bCs/>
                <w:iCs/>
              </w:rPr>
              <w:t xml:space="preserve"> </w:t>
            </w:r>
            <w:r w:rsidR="00C4268C" w:rsidRPr="00E9390C">
              <w:rPr>
                <w:bCs/>
                <w:iCs/>
              </w:rPr>
              <w:t>(</w:t>
            </w:r>
            <w:r w:rsidR="00085CEF" w:rsidRPr="00E9390C">
              <w:rPr>
                <w:bCs/>
                <w:i/>
                <w:iCs/>
              </w:rPr>
              <w:t>Geometry for all through paper folding</w:t>
            </w:r>
            <w:r w:rsidR="00DE4FC2" w:rsidRPr="00E9390C">
              <w:rPr>
                <w:bCs/>
                <w:iCs/>
              </w:rPr>
              <w:t>)</w:t>
            </w:r>
            <w:r w:rsidR="00085CEF" w:rsidRPr="00E9390C">
              <w:rPr>
                <w:bCs/>
                <w:iCs/>
              </w:rPr>
              <w:t xml:space="preserve"> </w:t>
            </w:r>
            <w:r w:rsidR="00F61D57" w:rsidRPr="00E9390C">
              <w:rPr>
                <w:bCs/>
                <w:iCs/>
              </w:rPr>
              <w:t xml:space="preserve">and </w:t>
            </w:r>
            <w:r w:rsidR="00C4268C" w:rsidRPr="00E9390C">
              <w:rPr>
                <w:bCs/>
                <w:iCs/>
              </w:rPr>
              <w:t xml:space="preserve">a </w:t>
            </w:r>
            <w:r w:rsidR="00C4268C" w:rsidRPr="00C4268C">
              <w:rPr>
                <w:bCs/>
              </w:rPr>
              <w:t xml:space="preserve">Saturday night special with Ben Sparks and David Acheson: </w:t>
            </w:r>
            <w:r w:rsidR="00C4268C" w:rsidRPr="00C4268C">
              <w:rPr>
                <w:bCs/>
                <w:i/>
                <w:iCs/>
              </w:rPr>
              <w:t xml:space="preserve">A mixture of maths and live music, in which David and Ben will attempt to explore their common denominators </w:t>
            </w:r>
          </w:p>
        </w:tc>
      </w:tr>
      <w:tr w:rsidR="00351CA1" w:rsidRPr="00645190" w14:paraId="04E11E04" w14:textId="77777777" w:rsidTr="00351CA1">
        <w:trPr>
          <w:cantSplit/>
        </w:trPr>
        <w:tc>
          <w:tcPr>
            <w:tcW w:w="4231" w:type="dxa"/>
          </w:tcPr>
          <w:p w14:paraId="3275BCAD" w14:textId="541C0E6F" w:rsidR="009B64A8" w:rsidRPr="00645190" w:rsidRDefault="002E327A" w:rsidP="009B64A8">
            <w:pPr>
              <w:spacing w:after="0" w:line="240" w:lineRule="auto"/>
            </w:pPr>
            <w:r w:rsidRPr="00645190">
              <w:t xml:space="preserve">To meet teachers who have had </w:t>
            </w:r>
            <w:r w:rsidR="000307EA" w:rsidRPr="00645190">
              <w:t>recognis</w:t>
            </w:r>
            <w:r w:rsidR="00767FF6" w:rsidRPr="00645190">
              <w:t>ed success in improving their school’s standi</w:t>
            </w:r>
            <w:r w:rsidR="00F61D57" w:rsidRPr="00645190">
              <w:t>ng in m</w:t>
            </w:r>
            <w:r w:rsidR="0058743D">
              <w:t>athematics</w:t>
            </w:r>
          </w:p>
        </w:tc>
        <w:tc>
          <w:tcPr>
            <w:tcW w:w="5011" w:type="dxa"/>
          </w:tcPr>
          <w:p w14:paraId="69D3FEC1" w14:textId="644FAECB" w:rsidR="009B64A8" w:rsidRPr="00645190" w:rsidRDefault="00DE4FC2" w:rsidP="00F61D57">
            <w:r>
              <w:rPr>
                <w:rFonts w:cs="Calibri"/>
                <w:color w:val="000000"/>
              </w:rPr>
              <w:t>Mel</w:t>
            </w:r>
            <w:r w:rsidR="00F61D57" w:rsidRPr="00645190">
              <w:rPr>
                <w:rFonts w:cs="Calibri"/>
                <w:color w:val="000000"/>
              </w:rPr>
              <w:t xml:space="preserve"> </w:t>
            </w:r>
            <w:proofErr w:type="spellStart"/>
            <w:r w:rsidR="00F61D57" w:rsidRPr="00645190">
              <w:rPr>
                <w:rFonts w:cs="Calibri"/>
                <w:color w:val="000000"/>
              </w:rPr>
              <w:t>Muldowney</w:t>
            </w:r>
            <w:proofErr w:type="spellEnd"/>
            <w:r w:rsidR="00F61D57" w:rsidRPr="00645190">
              <w:rPr>
                <w:rFonts w:cs="Calibri"/>
                <w:color w:val="000000"/>
              </w:rPr>
              <w:t xml:space="preserve"> who previously led the Mathematics Department of “most improved school in England ou</w:t>
            </w:r>
            <w:r w:rsidR="00C4268C">
              <w:rPr>
                <w:rFonts w:cs="Calibri"/>
                <w:color w:val="000000"/>
              </w:rPr>
              <w:t>t of Nat</w:t>
            </w:r>
            <w:r w:rsidR="00F9003B">
              <w:rPr>
                <w:rFonts w:cs="Calibri"/>
                <w:color w:val="000000"/>
              </w:rPr>
              <w:t>ional Challenge” will lead a session</w:t>
            </w:r>
          </w:p>
        </w:tc>
      </w:tr>
      <w:tr w:rsidR="00351CA1" w:rsidRPr="00645190" w14:paraId="3DC8FCD4" w14:textId="77777777" w:rsidTr="00351CA1">
        <w:tc>
          <w:tcPr>
            <w:tcW w:w="4231" w:type="dxa"/>
          </w:tcPr>
          <w:p w14:paraId="4B492225" w14:textId="6638D2E1" w:rsidR="009B64A8" w:rsidRPr="00645190" w:rsidRDefault="000307EA" w:rsidP="009B64A8">
            <w:pPr>
              <w:spacing w:after="0" w:line="240" w:lineRule="auto"/>
            </w:pPr>
            <w:r w:rsidRPr="00645190">
              <w:t>To find ways to make m</w:t>
            </w:r>
            <w:r w:rsidR="00A018F8" w:rsidRPr="00645190">
              <w:t>ath</w:t>
            </w:r>
            <w:r w:rsidRPr="00645190">
              <w:t>ematic</w:t>
            </w:r>
            <w:r w:rsidR="00A018F8" w:rsidRPr="00645190">
              <w:t xml:space="preserve">s </w:t>
            </w:r>
            <w:r w:rsidR="0058743D">
              <w:t>more relevant and engaging in your classroom</w:t>
            </w:r>
          </w:p>
        </w:tc>
        <w:tc>
          <w:tcPr>
            <w:tcW w:w="5011" w:type="dxa"/>
          </w:tcPr>
          <w:p w14:paraId="4FAFC31A" w14:textId="77777777" w:rsidR="009B64A8" w:rsidRPr="00645190" w:rsidRDefault="00F61D57" w:rsidP="00F61D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645190">
              <w:rPr>
                <w:rFonts w:cs="Calibri"/>
                <w:color w:val="000000"/>
              </w:rPr>
              <w:t>We cannot find a session</w:t>
            </w:r>
            <w:r w:rsidR="008B6E77" w:rsidRPr="00645190">
              <w:rPr>
                <w:rFonts w:cs="Calibri"/>
                <w:color w:val="000000"/>
              </w:rPr>
              <w:t xml:space="preserve"> that fails to meet this goal!</w:t>
            </w:r>
          </w:p>
          <w:p w14:paraId="24DC983C" w14:textId="77777777" w:rsidR="0058752A" w:rsidRPr="00645190" w:rsidRDefault="0058752A" w:rsidP="00F61D5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62983258" w14:textId="77777777" w:rsidR="00214200" w:rsidRPr="00645190" w:rsidRDefault="00214200" w:rsidP="004E6A52">
      <w:pPr>
        <w:spacing w:after="0" w:line="240" w:lineRule="auto"/>
        <w:rPr>
          <w:sz w:val="25"/>
          <w:szCs w:val="25"/>
        </w:rPr>
      </w:pPr>
    </w:p>
    <w:p w14:paraId="03D0584D" w14:textId="46D8EA6C" w:rsidR="00351CA1" w:rsidRPr="00645190" w:rsidRDefault="00351CA1">
      <w:pPr>
        <w:rPr>
          <w:sz w:val="25"/>
          <w:szCs w:val="25"/>
        </w:rPr>
      </w:pPr>
      <w:r w:rsidRPr="00645190">
        <w:rPr>
          <w:sz w:val="25"/>
          <w:szCs w:val="25"/>
        </w:rPr>
        <w:t xml:space="preserve">These are only some of the conference sessions you will be able to </w:t>
      </w:r>
      <w:r w:rsidR="00A06D1E" w:rsidRPr="00645190">
        <w:rPr>
          <w:sz w:val="25"/>
          <w:szCs w:val="25"/>
        </w:rPr>
        <w:t>choose</w:t>
      </w:r>
      <w:r w:rsidRPr="00645190">
        <w:rPr>
          <w:sz w:val="25"/>
          <w:szCs w:val="25"/>
        </w:rPr>
        <w:t xml:space="preserve"> from.  </w:t>
      </w:r>
      <w:r w:rsidR="0058743D">
        <w:rPr>
          <w:sz w:val="25"/>
          <w:szCs w:val="25"/>
        </w:rPr>
        <w:t>Speakers include</w:t>
      </w:r>
      <w:r w:rsidR="0076568E" w:rsidRPr="00645190">
        <w:rPr>
          <w:sz w:val="25"/>
          <w:szCs w:val="25"/>
        </w:rPr>
        <w:t xml:space="preserve"> </w:t>
      </w:r>
      <w:r w:rsidR="0058743D">
        <w:rPr>
          <w:sz w:val="25"/>
          <w:szCs w:val="25"/>
        </w:rPr>
        <w:t>Robert Barbour,</w:t>
      </w:r>
      <w:r w:rsidR="00DE4FC2">
        <w:rPr>
          <w:sz w:val="25"/>
          <w:szCs w:val="25"/>
        </w:rPr>
        <w:t xml:space="preserve"> Joyce Brown, Rose Griffiths, Gerry </w:t>
      </w:r>
      <w:proofErr w:type="spellStart"/>
      <w:r w:rsidR="00DE4FC2">
        <w:rPr>
          <w:sz w:val="25"/>
          <w:szCs w:val="25"/>
        </w:rPr>
        <w:t>Leversha</w:t>
      </w:r>
      <w:proofErr w:type="spellEnd"/>
      <w:r w:rsidR="00DE4FC2">
        <w:rPr>
          <w:sz w:val="25"/>
          <w:szCs w:val="25"/>
        </w:rPr>
        <w:t xml:space="preserve">, Ems Lord, Adam McBride, Jennie Pennant, Tom Roper, Chris </w:t>
      </w:r>
      <w:proofErr w:type="spellStart"/>
      <w:r w:rsidR="00DE4FC2">
        <w:rPr>
          <w:sz w:val="25"/>
          <w:szCs w:val="25"/>
        </w:rPr>
        <w:t>Sangwin</w:t>
      </w:r>
      <w:proofErr w:type="spellEnd"/>
      <w:r w:rsidR="00DE4FC2">
        <w:rPr>
          <w:sz w:val="25"/>
          <w:szCs w:val="25"/>
        </w:rPr>
        <w:t xml:space="preserve"> and of course our President</w:t>
      </w:r>
      <w:r w:rsidR="00A511BC" w:rsidRPr="00645190">
        <w:rPr>
          <w:sz w:val="25"/>
          <w:szCs w:val="25"/>
        </w:rPr>
        <w:t xml:space="preserve"> Jennie Golding, to name but a few. Full details of the conference can be found at </w:t>
      </w:r>
      <w:hyperlink r:id="rId8" w:history="1">
        <w:r w:rsidR="00A511BC" w:rsidRPr="00645190">
          <w:rPr>
            <w:rStyle w:val="Hyperlink"/>
            <w:sz w:val="25"/>
            <w:szCs w:val="25"/>
          </w:rPr>
          <w:t>http://www.m-a.org.uk/annual-conference</w:t>
        </w:r>
      </w:hyperlink>
      <w:r w:rsidR="00A511BC" w:rsidRPr="00645190">
        <w:rPr>
          <w:sz w:val="25"/>
          <w:szCs w:val="25"/>
        </w:rPr>
        <w:t xml:space="preserve">. </w:t>
      </w:r>
    </w:p>
    <w:p w14:paraId="6AD83EE3" w14:textId="4DDC0A85" w:rsidR="000307EA" w:rsidRPr="00F44859" w:rsidRDefault="00351CA1">
      <w:pPr>
        <w:rPr>
          <w:sz w:val="25"/>
          <w:szCs w:val="25"/>
        </w:rPr>
      </w:pPr>
      <w:r w:rsidRPr="00645190">
        <w:rPr>
          <w:sz w:val="25"/>
          <w:szCs w:val="25"/>
        </w:rPr>
        <w:t xml:space="preserve">Attending this conference and taking part in your chosen sessions will represent an intensive, but enjoyable, three-day course of Continuing Professional Development.  Your Head of Department could not make a better investment in staff </w:t>
      </w:r>
      <w:r w:rsidR="00DE4FC2" w:rsidRPr="00645190">
        <w:rPr>
          <w:sz w:val="25"/>
          <w:szCs w:val="25"/>
        </w:rPr>
        <w:t>development. In</w:t>
      </w:r>
      <w:r w:rsidR="000307EA" w:rsidRPr="00645190">
        <w:rPr>
          <w:sz w:val="25"/>
          <w:szCs w:val="25"/>
        </w:rPr>
        <w:t xml:space="preserve"> case you need to approach someone in your institution for funding, </w:t>
      </w:r>
      <w:r w:rsidR="004148DC">
        <w:rPr>
          <w:sz w:val="25"/>
          <w:szCs w:val="25"/>
        </w:rPr>
        <w:t>here</w:t>
      </w:r>
      <w:r w:rsidR="000307EA" w:rsidRPr="00645190">
        <w:rPr>
          <w:sz w:val="25"/>
          <w:szCs w:val="25"/>
        </w:rPr>
        <w:t xml:space="preserve"> is a </w:t>
      </w:r>
      <w:hyperlink r:id="rId9" w:history="1">
        <w:r w:rsidR="000307EA" w:rsidRPr="00503C56">
          <w:rPr>
            <w:rStyle w:val="Hyperlink"/>
            <w:sz w:val="25"/>
            <w:szCs w:val="25"/>
          </w:rPr>
          <w:t xml:space="preserve">pro forma </w:t>
        </w:r>
        <w:r w:rsidR="004148DC" w:rsidRPr="00503C56">
          <w:rPr>
            <w:rStyle w:val="Hyperlink"/>
            <w:sz w:val="25"/>
            <w:szCs w:val="25"/>
          </w:rPr>
          <w:t xml:space="preserve">justification </w:t>
        </w:r>
        <w:r w:rsidR="000307EA" w:rsidRPr="00503C56">
          <w:rPr>
            <w:rStyle w:val="Hyperlink"/>
            <w:sz w:val="25"/>
            <w:szCs w:val="25"/>
          </w:rPr>
          <w:t>letter</w:t>
        </w:r>
      </w:hyperlink>
      <w:bookmarkStart w:id="0" w:name="_GoBack"/>
      <w:bookmarkEnd w:id="0"/>
      <w:r w:rsidR="000307EA" w:rsidRPr="00645190">
        <w:rPr>
          <w:sz w:val="25"/>
          <w:szCs w:val="25"/>
        </w:rPr>
        <w:t xml:space="preserve"> that you can use.</w:t>
      </w:r>
      <w:r w:rsidR="004148DC">
        <w:rPr>
          <w:sz w:val="25"/>
          <w:szCs w:val="25"/>
        </w:rPr>
        <w:t xml:space="preserve">  </w:t>
      </w:r>
    </w:p>
    <w:sectPr w:rsidR="000307EA" w:rsidRPr="00F44859" w:rsidSect="004E6A52">
      <w:footerReference w:type="default" r:id="rId10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63A9" w14:textId="77777777" w:rsidR="008C14B3" w:rsidRDefault="008C14B3" w:rsidP="0058752A">
      <w:pPr>
        <w:spacing w:after="0" w:line="240" w:lineRule="auto"/>
      </w:pPr>
      <w:r>
        <w:separator/>
      </w:r>
    </w:p>
  </w:endnote>
  <w:endnote w:type="continuationSeparator" w:id="0">
    <w:p w14:paraId="43E36E38" w14:textId="77777777" w:rsidR="008C14B3" w:rsidRDefault="008C14B3" w:rsidP="0058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9BA9E" w14:textId="77777777" w:rsidR="00513FAC" w:rsidRDefault="00513FAC" w:rsidP="0058752A">
    <w:pPr>
      <w:rPr>
        <w:sz w:val="20"/>
        <w:szCs w:val="20"/>
      </w:rPr>
    </w:pPr>
  </w:p>
  <w:p w14:paraId="592903BB" w14:textId="77777777" w:rsidR="0058752A" w:rsidRPr="0058752A" w:rsidRDefault="0058752A" w:rsidP="0058752A">
    <w:pPr>
      <w:rPr>
        <w:sz w:val="20"/>
        <w:szCs w:val="20"/>
      </w:rPr>
    </w:pPr>
    <w:r w:rsidRPr="0058752A">
      <w:rPr>
        <w:sz w:val="20"/>
        <w:szCs w:val="20"/>
      </w:rPr>
      <w:t xml:space="preserve">Getting Funding to Attend </w:t>
    </w:r>
    <w:r>
      <w:rPr>
        <w:sz w:val="20"/>
        <w:szCs w:val="20"/>
      </w:rPr>
      <w:t>the MA</w:t>
    </w:r>
    <w:r w:rsidRPr="0058752A">
      <w:rPr>
        <w:sz w:val="20"/>
        <w:szCs w:val="20"/>
      </w:rPr>
      <w:t xml:space="preserve"> Conference</w:t>
    </w:r>
  </w:p>
  <w:p w14:paraId="15810FF4" w14:textId="77777777" w:rsidR="0058752A" w:rsidRDefault="0058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3FCE" w14:textId="77777777" w:rsidR="008C14B3" w:rsidRDefault="008C14B3" w:rsidP="0058752A">
      <w:pPr>
        <w:spacing w:after="0" w:line="240" w:lineRule="auto"/>
      </w:pPr>
      <w:r>
        <w:separator/>
      </w:r>
    </w:p>
  </w:footnote>
  <w:footnote w:type="continuationSeparator" w:id="0">
    <w:p w14:paraId="57DF12A3" w14:textId="77777777" w:rsidR="008C14B3" w:rsidRDefault="008C14B3" w:rsidP="00587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00C"/>
    <w:multiLevelType w:val="multilevel"/>
    <w:tmpl w:val="7BD0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00"/>
    <w:rsid w:val="000307EA"/>
    <w:rsid w:val="00040A39"/>
    <w:rsid w:val="00075317"/>
    <w:rsid w:val="00085CEF"/>
    <w:rsid w:val="000B063A"/>
    <w:rsid w:val="001031DC"/>
    <w:rsid w:val="00104D8E"/>
    <w:rsid w:val="00214200"/>
    <w:rsid w:val="00220BA2"/>
    <w:rsid w:val="002968E3"/>
    <w:rsid w:val="00297CDA"/>
    <w:rsid w:val="002A655E"/>
    <w:rsid w:val="002E327A"/>
    <w:rsid w:val="00351CA1"/>
    <w:rsid w:val="004148DC"/>
    <w:rsid w:val="004528DB"/>
    <w:rsid w:val="004E6A52"/>
    <w:rsid w:val="00503C56"/>
    <w:rsid w:val="00513FAC"/>
    <w:rsid w:val="00573CC6"/>
    <w:rsid w:val="0058743D"/>
    <w:rsid w:val="0058752A"/>
    <w:rsid w:val="00592F40"/>
    <w:rsid w:val="00645190"/>
    <w:rsid w:val="006B4219"/>
    <w:rsid w:val="006F77BC"/>
    <w:rsid w:val="00715405"/>
    <w:rsid w:val="00735246"/>
    <w:rsid w:val="007632C6"/>
    <w:rsid w:val="0076568E"/>
    <w:rsid w:val="00767FF6"/>
    <w:rsid w:val="007B6CA0"/>
    <w:rsid w:val="008B6E77"/>
    <w:rsid w:val="008C14B3"/>
    <w:rsid w:val="008D5A2B"/>
    <w:rsid w:val="009B64A8"/>
    <w:rsid w:val="009C75F0"/>
    <w:rsid w:val="00A018F8"/>
    <w:rsid w:val="00A06D1E"/>
    <w:rsid w:val="00A511BC"/>
    <w:rsid w:val="00A521A2"/>
    <w:rsid w:val="00B21A64"/>
    <w:rsid w:val="00B411F2"/>
    <w:rsid w:val="00BA20F8"/>
    <w:rsid w:val="00C4268C"/>
    <w:rsid w:val="00CD4F85"/>
    <w:rsid w:val="00D4392C"/>
    <w:rsid w:val="00D6325B"/>
    <w:rsid w:val="00D87F09"/>
    <w:rsid w:val="00D94260"/>
    <w:rsid w:val="00DC6300"/>
    <w:rsid w:val="00DD5F2E"/>
    <w:rsid w:val="00DE4FC2"/>
    <w:rsid w:val="00E20A83"/>
    <w:rsid w:val="00E30AAD"/>
    <w:rsid w:val="00E9390C"/>
    <w:rsid w:val="00E9667A"/>
    <w:rsid w:val="00EB265C"/>
    <w:rsid w:val="00F44859"/>
    <w:rsid w:val="00F61D57"/>
    <w:rsid w:val="00F9003B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1C55"/>
  <w15:docId w15:val="{B7FECF7D-B9F0-485D-85B4-4A1334CA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B421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30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75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75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75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752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6A5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D87F0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B063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63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63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a.org.uk/annual-confere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-a.org.uk/resources/Conference_Justification_Letter_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2D4C9-BF99-4EEF-AB8B-0320A4811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Links>
    <vt:vector size="12" baseType="variant">
      <vt:variant>
        <vt:i4>786453</vt:i4>
      </vt:variant>
      <vt:variant>
        <vt:i4>3</vt:i4>
      </vt:variant>
      <vt:variant>
        <vt:i4>0</vt:i4>
      </vt:variant>
      <vt:variant>
        <vt:i4>5</vt:i4>
      </vt:variant>
      <vt:variant>
        <vt:lpwstr>http://www.m-a.org.uk/resources/Conference_Justification_Letter.docx</vt:lpwstr>
      </vt:variant>
      <vt:variant>
        <vt:lpwstr/>
      </vt:variant>
      <vt:variant>
        <vt:i4>7077938</vt:i4>
      </vt:variant>
      <vt:variant>
        <vt:i4>0</vt:i4>
      </vt:variant>
      <vt:variant>
        <vt:i4>0</vt:i4>
      </vt:variant>
      <vt:variant>
        <vt:i4>5</vt:i4>
      </vt:variant>
      <vt:variant>
        <vt:lpwstr>http://www.m-a.org.uk/annual-conference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Kathryn Lamb</cp:lastModifiedBy>
  <cp:revision>4</cp:revision>
  <cp:lastPrinted>2016-02-25T09:51:00Z</cp:lastPrinted>
  <dcterms:created xsi:type="dcterms:W3CDTF">2017-01-12T17:18:00Z</dcterms:created>
  <dcterms:modified xsi:type="dcterms:W3CDTF">2017-01-12T18:47:00Z</dcterms:modified>
</cp:coreProperties>
</file>